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B" w:rsidRDefault="00051487" w:rsidP="009F00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  <w:r w:rsidRPr="00051487">
        <w:rPr>
          <w:sz w:val="16"/>
          <w:szCs w:val="16"/>
        </w:rPr>
        <w:t xml:space="preserve"> </w:t>
      </w:r>
      <w:r w:rsidRPr="00051487">
        <w:rPr>
          <w:rFonts w:ascii="Times New Roman" w:hAnsi="Times New Roman" w:cs="Times New Roman"/>
          <w:b/>
          <w:sz w:val="24"/>
          <w:szCs w:val="24"/>
        </w:rPr>
        <w:t>для лиц, обеспечивающих строительство многокварти</w:t>
      </w:r>
      <w:r>
        <w:rPr>
          <w:rFonts w:ascii="Times New Roman" w:hAnsi="Times New Roman" w:cs="Times New Roman"/>
          <w:b/>
          <w:sz w:val="24"/>
          <w:szCs w:val="24"/>
        </w:rPr>
        <w:t>рных домов (далее - застройщик)</w:t>
      </w:r>
    </w:p>
    <w:p w:rsidR="001D2BAB" w:rsidRDefault="001D2BAB" w:rsidP="009F00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053" w:rsidRPr="009F0053" w:rsidRDefault="009F0053" w:rsidP="009F00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053">
        <w:rPr>
          <w:rFonts w:ascii="Times New Roman" w:eastAsia="Calibri" w:hAnsi="Times New Roman" w:cs="Times New Roman"/>
          <w:b/>
          <w:sz w:val="24"/>
          <w:szCs w:val="24"/>
        </w:rPr>
        <w:t>Технические требования оснащения жилых и нежилых помещений многоквартирного дома приборами учета электроэнергии, а также иным оборудованием, обеспечивающим возможность их присоединения к интеллектуальной системе учета электрической энергии (мощности) гарантирующего поставщика.</w:t>
      </w:r>
    </w:p>
    <w:p w:rsidR="009F0053" w:rsidRPr="009F0053" w:rsidRDefault="009F0053" w:rsidP="009F00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053" w:rsidRPr="009F0053" w:rsidRDefault="00201822" w:rsidP="0020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9F0053" w:rsidRPr="009F0053">
        <w:rPr>
          <w:rFonts w:ascii="Times New Roman" w:eastAsia="Calibri" w:hAnsi="Times New Roman" w:cs="Times New Roman"/>
          <w:sz w:val="24"/>
          <w:szCs w:val="24"/>
        </w:rPr>
        <w:t>Технические требования разработано в соответствии с постановлением Правительства Российской Федераци</w:t>
      </w:r>
      <w:r w:rsidR="005B5A22">
        <w:rPr>
          <w:rFonts w:ascii="Times New Roman" w:eastAsia="Calibri" w:hAnsi="Times New Roman" w:cs="Times New Roman"/>
          <w:sz w:val="24"/>
          <w:szCs w:val="24"/>
        </w:rPr>
        <w:t>и от 19.06.2020 № 890 «Правила</w:t>
      </w:r>
      <w:r w:rsidR="009F0053" w:rsidRPr="009F0053">
        <w:rPr>
          <w:rFonts w:ascii="Times New Roman" w:eastAsia="Calibri" w:hAnsi="Times New Roman" w:cs="Times New Roman"/>
          <w:sz w:val="24"/>
          <w:szCs w:val="24"/>
        </w:rPr>
        <w:t xml:space="preserve"> предоставления доступа к минимальному набору функций интеллектуальных систем учета электрической энергии (мощности), учитывая требования постановления Правительства РФ от 21.12.2020 № 2184 "О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поставщикам".</w:t>
      </w:r>
      <w:proofErr w:type="gramEnd"/>
    </w:p>
    <w:p w:rsidR="009F0053" w:rsidRPr="009F0053" w:rsidRDefault="009F0053" w:rsidP="009F00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Область применения</w:t>
      </w:r>
    </w:p>
    <w:p w:rsidR="009F0053" w:rsidRPr="009F0053" w:rsidRDefault="009F0053" w:rsidP="0020182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Проектная документация на многоквартирный дом, разрешение на строительство, которого выдано после 1 января 2021 г., должна учитывать настоящие технические требования.</w:t>
      </w:r>
    </w:p>
    <w:p w:rsidR="009F0053" w:rsidRPr="009F0053" w:rsidRDefault="009F0053" w:rsidP="0020182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Технические требования устанавливают единые нормы, правила и требования к техническим решениям оснащения жилых и нежилых помещений в многоквартирном доме средствами измерений, иным оборудованием и нематериальными </w:t>
      </w:r>
      <w:r w:rsidR="005B5A22">
        <w:rPr>
          <w:rFonts w:ascii="Times New Roman" w:eastAsia="Calibri" w:hAnsi="Times New Roman" w:cs="Times New Roman"/>
          <w:sz w:val="24"/>
          <w:szCs w:val="24"/>
        </w:rPr>
        <w:t>активами, обеспечивающими их при</w:t>
      </w:r>
      <w:r w:rsidRPr="009F0053">
        <w:rPr>
          <w:rFonts w:ascii="Times New Roman" w:eastAsia="Calibri" w:hAnsi="Times New Roman" w:cs="Times New Roman"/>
          <w:sz w:val="24"/>
          <w:szCs w:val="24"/>
        </w:rPr>
        <w:t>соединение (интегрирование) в интеллектуальную систему учёта электрической энергии (мощности) гарантирующего поставщика.</w:t>
      </w:r>
    </w:p>
    <w:p w:rsidR="009F0053" w:rsidRPr="009F0053" w:rsidRDefault="009F0053" w:rsidP="00201822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Действие технических требований распространяется на организации застройщики, которые на личном или арендуемом земельном участке планируют возвести многоквартирные дома.</w:t>
      </w:r>
    </w:p>
    <w:p w:rsidR="009F0053" w:rsidRPr="009F0053" w:rsidRDefault="009F0053" w:rsidP="009F005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Нормативные документы</w:t>
      </w:r>
    </w:p>
    <w:p w:rsidR="009F0053" w:rsidRPr="009F0053" w:rsidRDefault="008908AE" w:rsidP="008908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F0053" w:rsidRPr="009F0053">
        <w:rPr>
          <w:rFonts w:ascii="Times New Roman" w:eastAsia="Calibri" w:hAnsi="Times New Roman" w:cs="Times New Roman"/>
          <w:sz w:val="24"/>
          <w:szCs w:val="24"/>
        </w:rPr>
        <w:t xml:space="preserve">В настоящем документе использованы следующие нормативно-правовые акты, государственные стандарты и технические регламенты: </w:t>
      </w:r>
    </w:p>
    <w:p w:rsidR="009F0053" w:rsidRP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21.12.2020 № 2184 "О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поставщикам";</w:t>
      </w:r>
    </w:p>
    <w:p w:rsidR="009F0053" w:rsidRP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- «Закон № 522-ФЗ»;</w:t>
      </w:r>
    </w:p>
    <w:p w:rsidR="009F0053" w:rsidRP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26.03.2003 № 35-ФЗ «Об электроэнергетике», далее - «Закон № 35-ФЗ»; </w:t>
      </w:r>
    </w:p>
    <w:p w:rsidR="009F0053" w:rsidRP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далее - «Закон № 261-ФЗ»;</w:t>
      </w:r>
    </w:p>
    <w:p w:rsidR="009F0053" w:rsidRP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</w:t>
      </w:r>
      <w:r w:rsidR="005B5A22">
        <w:rPr>
          <w:rFonts w:ascii="Times New Roman" w:eastAsia="Calibri" w:hAnsi="Times New Roman" w:cs="Times New Roman"/>
          <w:sz w:val="24"/>
          <w:szCs w:val="24"/>
        </w:rPr>
        <w:t>и от 19.06.2020 № 890 «Правила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предоставления доступа к минимальному набору функций интеллектуальных систем учёта электрической энергии (мощности)», далее - «Постановление № 890»;</w:t>
      </w:r>
    </w:p>
    <w:p w:rsidR="009F0053" w:rsidRP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далее - «Постановление № 442»;</w:t>
      </w:r>
    </w:p>
    <w:p w:rsidR="009F0053" w:rsidRDefault="009F0053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Федеральный закон от 26.06.2008 № 102-ФЗ «Об обеспечении единства измерений», далее - «Закон № 102-ФЗ»; </w:t>
      </w:r>
    </w:p>
    <w:p w:rsidR="00FC5CE0" w:rsidRDefault="00FC5CE0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устройства электроустановок (ПУЭ);</w:t>
      </w:r>
    </w:p>
    <w:p w:rsidR="00FC5CE0" w:rsidRPr="009F0053" w:rsidRDefault="00FC5CE0" w:rsidP="008908AE">
      <w:pPr>
        <w:numPr>
          <w:ilvl w:val="0"/>
          <w:numId w:val="4"/>
        </w:numPr>
        <w:spacing w:after="0" w:line="240" w:lineRule="auto"/>
        <w:ind w:left="0" w:firstLine="4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технической эксплуатации электроустановок потребителей (ПТЭЭП).</w:t>
      </w:r>
    </w:p>
    <w:p w:rsidR="009F0053" w:rsidRPr="009F0053" w:rsidRDefault="009F0053" w:rsidP="00074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Выбранный застройщиком вариант типового технического решения должен соответствовать нормам, правилам и требованиям указанных правовых актов, государственных стандартов и технических регламентов. Если ссылочный документ был заменен (изменен), следует руководствоваться замененным (измененным) документом. </w:t>
      </w:r>
    </w:p>
    <w:p w:rsidR="009F0053" w:rsidRPr="009F0053" w:rsidRDefault="009F0053" w:rsidP="00FC5C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Средства измерений, иное оборудование и нематериальные активы</w:t>
      </w:r>
    </w:p>
    <w:p w:rsidR="009F0053" w:rsidRPr="009F0053" w:rsidRDefault="009F0053" w:rsidP="00370136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Под средствами измерений для целей коммерческого учёта электрической энергии (мощности) понимаются следующие материальные объекты:</w:t>
      </w:r>
    </w:p>
    <w:p w:rsidR="009F0053" w:rsidRPr="009F0053" w:rsidRDefault="009F0053" w:rsidP="00370136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общие (для коммунальной квартиры) и коллективные (общедомовые) приборы учёта электрической энергии (мощности); </w:t>
      </w:r>
    </w:p>
    <w:p w:rsidR="009F0053" w:rsidRPr="009F0053" w:rsidRDefault="009F0053" w:rsidP="00370136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измерительные элементы (трансформаторы, резистивные шунты, </w:t>
      </w:r>
      <w:r w:rsidR="00370136">
        <w:rPr>
          <w:rFonts w:ascii="Times New Roman" w:eastAsia="Calibri" w:hAnsi="Times New Roman" w:cs="Times New Roman"/>
          <w:sz w:val="24"/>
          <w:szCs w:val="24"/>
        </w:rPr>
        <w:t>и т.п.)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0053" w:rsidRPr="009F0053" w:rsidRDefault="009F0053" w:rsidP="00370136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измерительные комплексы (совокупность приборов учёта, измерительных элементов и др.); </w:t>
      </w:r>
    </w:p>
    <w:p w:rsidR="009F0053" w:rsidRPr="009F0053" w:rsidRDefault="009F0053" w:rsidP="00370136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вторичные измерительные цепи, соединенные по установленной схеме; </w:t>
      </w:r>
    </w:p>
    <w:p w:rsidR="009F0053" w:rsidRPr="009F0053" w:rsidRDefault="009F0053" w:rsidP="00370136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Под иным оборудованием для целей коммерческого учёта электрической энергии (мощности) понимаются материальные объекты: </w:t>
      </w:r>
    </w:p>
    <w:p w:rsidR="009F0053" w:rsidRPr="009F0053" w:rsidRDefault="009F0053" w:rsidP="00370136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коммутационные аппараты цепей переменного тока и вторичных измерительных цепей; </w:t>
      </w:r>
    </w:p>
    <w:p w:rsidR="009F0053" w:rsidRPr="009F0053" w:rsidRDefault="009F0053" w:rsidP="00370136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аппараты защиты средств измерений от токов короткого замыкания; </w:t>
      </w:r>
    </w:p>
    <w:p w:rsidR="009F0053" w:rsidRPr="009F0053" w:rsidRDefault="009F0053" w:rsidP="00FC5C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Общие требования</w:t>
      </w:r>
    </w:p>
    <w:p w:rsidR="009F0053" w:rsidRPr="009F0053" w:rsidRDefault="009F0053" w:rsidP="009F0053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Приборы учета электроэнергии, а также иное оборудование, используемые застройщиком при оснащении жилых и нежилых помещений в многоквартирном доме, совместно должны обеспечивать возможность их присоединения к интеллектуальной системе учёта электрической энергии (мощности) гарантирующего поставщика, а также прием,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между измерительным комплексом  (нижний уровень), УСПД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(средний уровень) и ЦСОД (ИСУЭ) (верхний уровень).</w:t>
      </w:r>
    </w:p>
    <w:p w:rsidR="009F0053" w:rsidRPr="009F0053" w:rsidRDefault="009F0053" w:rsidP="009F0053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Выбранный застройщиком вариант технического решения, используемого застройщиком при оснащении жилых и нежилых помещений в многоквартирном доме, должен обеспечить гарантированный прием, обработку и передачу измерительной информации, учётных данных, управляющих сигналов (команд), сигналов оповещения о наступлении штатных и срочных событий со всех средств измерения в интеллектуальную систему учёта электрической энергии (мощности) гарантирующего поставщика.</w:t>
      </w:r>
      <w:proofErr w:type="gramEnd"/>
    </w:p>
    <w:p w:rsidR="009F0053" w:rsidRPr="009F0053" w:rsidRDefault="009F0053" w:rsidP="009F0053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Применяемые застройщиком технологии и интерфейсы связи, спецификации и протоколы информационного обмена должны быть ратифицированы в Российской Федерации, открытыми и стандартизированными в виде совокупности унифицированных аппаратно-программных средств, методов взаимосвязи и взаимодействия, а также поведения функциональных устройств организации каналов (линий) связи и средств информационного обмена, необходимых для гарантированной взаимосвязи с функциональными элементами интеллектуальной системы учёта электрической энергии (мощности) гарантирующего поставщика. </w:t>
      </w:r>
      <w:proofErr w:type="gramEnd"/>
    </w:p>
    <w:p w:rsidR="009F0053" w:rsidRPr="009F0053" w:rsidRDefault="009F0053" w:rsidP="009F0053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Используемые застройщиком в жилых и нежилых помещениях многоквартирного дома технологии и интерфейсы связи, спецификации и протоколы информационного обмена между измерительным комплексом (нижний уровень), УСПД (средний уровень) и </w:t>
      </w: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>ЦСОД (ИСУЭ) (верхний уровень) должны быть защищены от несанкционированного вмешательства в процесс приема, обработки и передачи измерительной информации, учётных данных, управляющих сигналов (команд), сигналов оповещения о наступлении штатных и срочных событий.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Они должны учитывать риски информационной безопасности и оценки угроз, предоставлять возможность создавать защищенные сети информационного обмена данными, в соответствии с требованиями базовой модели угроз, опубликованной на сайте Минэнерго России, определяющей методы защиты информации с использованием сегментации пользователей, идентификац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тентификации доступа, а также сквозного шифрования каналов (линий) связи. Выбранный застройщиком вариант технического решения должен содержать элементы информационной безопасности, действующие до, во время и после возникновения угроз, позволяющие обнаруживать вредоносные программы, сетевые угрозы и своевременно предотвращать возникающие угрозы, а также уменьшать теоретические возможности совершения атак (преднамеренных действий злоумышленников), направленных на нарушение любого из свойств доступности, целостности и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конфиденциальности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установленных застройщиком в жилых и нежилых помещениях жилого дома средств измерений, иного оборудования и нематериальных активов. </w:t>
      </w:r>
    </w:p>
    <w:p w:rsidR="009F0053" w:rsidRPr="009F0053" w:rsidRDefault="009F0053" w:rsidP="009F0053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Выбор любого варианта технического решения застройщик должен обосновывать результатами инструментального обследования жилых и нежилых помещений в многоквартирном доме, выполненного для целей установления фактических значений показателя полной мощности принимаемого приёмником сигнала RSSI, обеспечивающих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технических решений, используемых технологию GSM фактические значения показателя RSSI в жилых и нежилых помещениях многоквартирного дома не могут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быть хуже -90 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dBm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(децибелов на милливатт).</w:t>
      </w:r>
    </w:p>
    <w:p w:rsidR="009F0053" w:rsidRPr="009F0053" w:rsidRDefault="009F0053" w:rsidP="00E515F9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Общие требования к приборам учета электроэнергии.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Все приборы учета электрической энергии, используемые для оснащения жилых и нежилых помещений в многоквартирном доме должны соответствовать нормам, правилам и требованиям законодательства Российской Федерации о техническом регулировании и обеспечении единства измерений. Должны быть допущены к применению в Российской Федерации и включены в Государственный реестр средств измерений.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0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установленные приборы учета электроэнергии должны иметь на винтах, крепящих кожух прибора учета электроэнергии, пломбы с клеймом </w:t>
      </w:r>
      <w:proofErr w:type="spellStart"/>
      <w:r w:rsidRPr="009F0053">
        <w:rPr>
          <w:rFonts w:ascii="Times New Roman" w:eastAsia="Calibri" w:hAnsi="Times New Roman" w:cs="Times New Roman"/>
          <w:color w:val="000000"/>
          <w:sz w:val="24"/>
          <w:szCs w:val="24"/>
        </w:rPr>
        <w:t>госповерителя</w:t>
      </w:r>
      <w:proofErr w:type="spellEnd"/>
      <w:r w:rsidRPr="009F00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на винтах </w:t>
      </w:r>
      <w:proofErr w:type="spellStart"/>
      <w:r w:rsidRPr="009F0053">
        <w:rPr>
          <w:rFonts w:ascii="Times New Roman" w:eastAsia="Calibri" w:hAnsi="Times New Roman" w:cs="Times New Roman"/>
          <w:color w:val="000000"/>
          <w:sz w:val="24"/>
          <w:szCs w:val="24"/>
        </w:rPr>
        <w:t>клеммной</w:t>
      </w:r>
      <w:proofErr w:type="spellEnd"/>
      <w:r w:rsidRPr="009F00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крышки пломбу гарантирующего поставщика. 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F00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Учет активной и реактивной электроэнергии трехфазного тока должен производиться с помощью трехфазных приборов учета электроэнергии.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Все приборы учёта электрической энергии (мощности) в составе измерительного комплекса (нижний уровень), устройства сбора и передачи данных (средний уровень) должны быть присоединены к интеллектуальной системе учёта электрической энергии (мощности) гарантирующего поставщика и официально поддерживаемыми программным обеспечением «Пирамида 2.0» (разработчик ООО «Системы и технологии»). </w:t>
      </w:r>
    </w:p>
    <w:p w:rsidR="00E515F9" w:rsidRPr="009F0053" w:rsidRDefault="009F0053" w:rsidP="00FC5CE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Для организации связи между УСПД и ИПУ должен быть использован протокол обмена данных, СПОДЭС (спецификация протокола обмена данными электронных счетчиков), представляющий собой единый открытый протокол передачи информации с электронных приборов учета на устройство удаленного сбора данных, разработанный на базе протокола IEC 62056 (DLMS/COSEM) для обеспечения эффективной и безопасной </w:t>
      </w: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передачи данных, соответствующий ГОСТ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58940-2020 «Требования к протоколам обмена информацией между компонентами интеллектуальной системы учета и приборами учета». </w:t>
      </w:r>
    </w:p>
    <w:p w:rsidR="009F0053" w:rsidRPr="009F0053" w:rsidRDefault="009F0053" w:rsidP="009F0053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Общие требования к измерительным трансформаторам.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 точности трансформаторов тока и напряжения для присоединения расчетных счетчиков электроэнергии должен быть не более 0,5.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Вторичные измерительные цепи трансформаторов тока подключаются к приборам учёта электрической энергии (мощности) отдельно от вторичных цепей защиты. Использование промежуточных трансформаторов тока для подключения приборов учёта электрической энергии (мощности) запрещается.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Нагрузка вторичных измерительных цепей трансформаторов тока не должна превышать номинальных значений подсоединяемых приборов учёта электрической энергии (мощности). </w:t>
      </w:r>
    </w:p>
    <w:p w:rsidR="009F0053" w:rsidRDefault="009F0053" w:rsidP="00E515F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Вторичные измерительные цепи трансформаторов тока должны выводиться на зажимы (клеммы) проходных испытательных устройств, обеспечивающие 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закорачивание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вторичных измерительных цепей трансформаторов тока и отключение по каждой фазе токовых цепей приборов учёта электрической энергии (мощности) при их замене (проверке), а также включение образцового прибора учёта электрической энергии (мощности) без отсоединения вторичных измерительных цепей трансформаторов тока.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Конструкция зажимов (клемм) проходных испытательных устройств должна обеспечивать возможность их пломбирования.</w:t>
      </w:r>
    </w:p>
    <w:p w:rsidR="00E515F9" w:rsidRPr="009F0053" w:rsidRDefault="00E515F9" w:rsidP="00E515F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0" w:line="259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Общие требования к местам установки.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Приборы учета электроэнергии и иное оборудование должны размещаться в достаточно свободном,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легко доступном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и не стесненном для обслуживания месте в сухих помещениях с температурой в зимнее время не ниже 0°С.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Приборы учета электроэнергии и иное оборудование должны размещаться на панелях в шкафах (щитах) или в нишах на стенах, имеющих жесткую конструкцию. Допускается размещение приборов учета электроэнергии и и</w:t>
      </w:r>
      <w:r w:rsidR="00982AAA">
        <w:rPr>
          <w:rFonts w:ascii="Times New Roman" w:eastAsia="Calibri" w:hAnsi="Times New Roman" w:cs="Times New Roman"/>
          <w:sz w:val="24"/>
          <w:szCs w:val="24"/>
        </w:rPr>
        <w:t xml:space="preserve">ного оборудования в специальных </w:t>
      </w:r>
      <w:r w:rsidRPr="009F0053">
        <w:rPr>
          <w:rFonts w:ascii="Times New Roman" w:eastAsia="Calibri" w:hAnsi="Times New Roman" w:cs="Times New Roman"/>
          <w:sz w:val="24"/>
          <w:szCs w:val="24"/>
        </w:rPr>
        <w:t>щитках. Высота от пола до зажимных плат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клеммных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колодок) приборов учета электроэнергии и иного оборудования должна быть в пределах от 0,8 до 1,7 м. Допускается высота от пола менее 0,8 м, но не менее 0,4 м.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Для размещения приборов учета электроэнергии и иного оборудования в местах, кроме жилых и нежилых помещений, где существует опасность их механического повреждения (загрязнения) и (или) доступа к ним посторонних лиц, должны быть предусмотрены запирающиеся шкафы (щиты) с окошком на уровне дисплея (индикаторов функционирования). Аналогичные шкафы (щиты) должны устанавливаться также для совместного размещения приборов учёта электрической энергии (мощности) и измерительных трансформаторов тока.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Конструкции, типоразмеры и схемы крепления шкафов (щитов) для размещения средств измерений и иного оборудования должны обеспечивать возможность: </w:t>
      </w:r>
    </w:p>
    <w:p w:rsidR="009F0053" w:rsidRPr="009F0053" w:rsidRDefault="009F0053" w:rsidP="00E515F9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свободного и не стесненного доступа для обслуживающего персонала к зажимам (клеммам) подключения приборов учета электроэнергии и иного оборудования; </w:t>
      </w:r>
    </w:p>
    <w:p w:rsidR="009F0053" w:rsidRPr="009F0053" w:rsidRDefault="009F0053" w:rsidP="00E515F9">
      <w:pPr>
        <w:numPr>
          <w:ilvl w:val="0"/>
          <w:numId w:val="4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удобной установки (замены) приборов учета электроэнергии и иного оборудования с лицевой стороны.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Прокладка цепей переменного тока и вторичных измерительных цепей к приборам учета электроэнергии и иному оборудованию должны отвечать требованиям гл. 2.1 и 3.4. ПУЭ.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>Сечение проводников кабелей, подсоединяемых к приборам учета электроэнергии и иному оборудованию, должны приниматься в соответствии с требованиями п.3.4.4 ПУЭ.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При монтаже проводников для непосредственного подключения приборов учета электроэнергии и иного оборудования перед зажимами (клеммами) необходимо оставлять свободные концы проводников длиной не менее 120 мм. Изоляция проводников (фаз и 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нейтрали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) на длине не менее 100 мм должна иметь отличительную маркировку проводников по цвету.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Для безопасной установки (замены) приборов учета электроэнергии и иного оборудования в сетях напряжением 0,4 кВ должна предусматриваться возможность отключения (снятие напряжения) со всех питающих фаз приборов учета электроэнергии и иного оборудования коммутационными аппаратами (предохранителями) установленными на расстоянии не более 10 м до них. Трансформаторы тока в сетях напряжением 0,4 кВ должны устанавливаются после коммутационных аппаратов по направлению потока мощности.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Для целей безопасной установки (замены) и технического обслуживания приборов учета электроэнергии и иного оборудования в местах их размещения нужно исключить наличие открытых (неизолированных) токоведущих частей.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Заземление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зануление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>) приборов учета электроэнергии и иного оборудования должно выполняться в соответствии с требованиями гл.1.7. ПУЭ. Проводники заземления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зануления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>) от приборов учета и иного оборудования до ближайшей сборки зажимов (клемм) заземления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зануления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) должны быть выполнены из меди.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Если объект автоматизации имеет несколько подсоединений (вводов) с раздельным учётом электрической энергии (мощности), на панелях в шкафах (щитах) или в нишах размещения средств измерений должны быть надписи с наименованием присоединений.</w:t>
      </w:r>
    </w:p>
    <w:p w:rsidR="009F0053" w:rsidRDefault="009F0053" w:rsidP="00FC5CE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Средства измерений и иное оборудование должны быть защищены от внешнего воздействия и (или) несанкционированного доступа для исключения возможности вмешательства в результаты измерений и (или) искажения учётных данных. </w:t>
      </w:r>
    </w:p>
    <w:p w:rsidR="00FC5CE0" w:rsidRPr="009F0053" w:rsidRDefault="00FC5CE0" w:rsidP="00FC5CE0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Технические решения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  <w:u w:val="single"/>
        </w:rPr>
        <w:t>Техническое решение № 1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оснащения жилых и нежилых помещений в многоквартирном доме приборами учета электроэнергии, а также иным оборудованием на основе промышленного интерфейса RS-485 (TIA/EIA 485-A: 2003)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Все приборы учёта электроэнергии в составе измерительного комплекса (нижний уровень) должны быть оснащены универсальными приема-передатчиками промышленного интерфейса RS-485, обеспечивающими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 (средний уровень).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Обмен измерительной информацией, учётными данными, управляющими сигналами (командами) и сигналами оповещения между измерительным комплексом (нижний уровень) и УСПД (средний уровень) системы осуществляется по одному организованному каналу (линии) связи с использованием промышленного интерфейса RS</w:t>
      </w:r>
      <w:r w:rsidRPr="009F0053">
        <w:rPr>
          <w:rFonts w:ascii="Times New Roman" w:eastAsia="Calibri" w:hAnsi="Times New Roman" w:cs="Times New Roman"/>
          <w:sz w:val="24"/>
          <w:szCs w:val="24"/>
        </w:rPr>
        <w:noBreakHyphen/>
        <w:t xml:space="preserve">485. Для организации связи между УСПД и ИПУ должен быть использован протокол обмена данных СПОДЭС, соответствующий ГОСТ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58940-2020. В качестве канала (линии) связи между приборами учёта в составе измерительного комплекса (нижний уровень) и УСПД (средний уровень) должна быть проложена внутридомовая экранированная кабельная сеть (общая проводная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шина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витая пара), по которой осуществляется прием, обработка и передача унифицированных дискретных сигналов с использованием промышленного интерфейса RS-485.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УСПД (средний уровень) </w:t>
      </w: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должны быть оснащены на входе универсальными приема-передатчиками промышленного интерфейса RS-485, а на выходе 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мультичастотными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GSM-модемами, поддерживающими стандарты GPRS, EDGE и LTE, обеспечивающими прием,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 на ЦСОД (ИСУЭ) (верхний уровень) и обратно.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Между УСПД (средний уровень) и ЦСОД (ИСУЭ) (верхний уровень) должна быть организована беспроводная сеть с использованием технологии GSM стандартов GPRS, EDGE и LTE или проводное соединение через Интернет-провайдера.</w:t>
      </w:r>
    </w:p>
    <w:p w:rsidR="009F0053" w:rsidRPr="009F0053" w:rsidRDefault="009F0053" w:rsidP="009F005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  <w:u w:val="single"/>
        </w:rPr>
        <w:t>Техническое решение № 2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оснащения жилых и нежилых помещений в многоквартирном доме приборами учета электроэнергии, а также иным оборудованием на основе технологий </w:t>
      </w:r>
      <w:r w:rsidRPr="009F0053">
        <w:rPr>
          <w:rFonts w:ascii="Times New Roman" w:eastAsia="Calibri" w:hAnsi="Times New Roman" w:cs="Times New Roman"/>
          <w:sz w:val="24"/>
          <w:szCs w:val="24"/>
          <w:lang w:val="en-US"/>
        </w:rPr>
        <w:t>PLC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Все приборы в составе измерительного комплекса (нижний уровень) должны быть оснащены универсальными модулями информационного обмена технологий PLC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PowerLineCommunications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>) и RF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RadioFrequency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>), обеспечивающими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 (средний уровень).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Обмен измерительной информацией, учётными данными, управляющими сигналами (командами) и сигналами оповещения о наступлении штатных и срочных событий между измерительным комплексом (нижний уровень) и УСПД (средний уровень) осуществляется по двум каналам (линиям) связи (основному и резервному). В качестве основного канала (линии) связи должны быть использованы внутридомовые низковольтные (0,4 кВ) линии электропередачи по которым осуществляется прием, обработка и передача унифицированных дискретных сигналов с использованием узкополосной технологии PLC и стандартизированных спецификаций сетевых протоколов </w:t>
      </w:r>
      <w:r w:rsidRPr="009F0053">
        <w:rPr>
          <w:rFonts w:ascii="Times New Roman" w:eastAsia="Calibri" w:hAnsi="Times New Roman" w:cs="Times New Roman"/>
          <w:sz w:val="24"/>
          <w:szCs w:val="24"/>
          <w:lang w:val="en-US"/>
        </w:rPr>
        <w:t>PLC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, PLC-PRIME, G3-PLC. Для организации связи между УСПД и ИПУ использовать протокол обмена данных СПОДЭС, соответствующий ГОСТ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58940-2020. Таким образом, ИПУ и УСПД должны официально поддерживать данный протокол.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УСПД (средний уровень) должны быть оснащены на входе универсальными приема-передатчиками технологии PLC, а на выходе 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мультичастотными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GSM-модемами, поддерживающими стандарты GPRS, EDGE и LTE, обеспечивающими прием,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 на ЦСОД (ИСУЭ) (верхний уровень) и обратно.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Между УСПД (средний уровень) и ЦСОД (ИСУЭ) (верхний уровень) должна быть организована беспроводная сеть с использованием технологии GSM стандартов GPRS, EDGE, LTE или проводное соединение через Интернет-провайдера.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  <w:u w:val="single"/>
        </w:rPr>
        <w:t>Техническое решение № 3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оснащения жилых и нежилых помещений в многоквартирном доме приборами учета электроэнергии, а также иным оборудованием на основе технологий </w:t>
      </w:r>
      <w:r w:rsidRPr="009F0053">
        <w:rPr>
          <w:rFonts w:ascii="Times New Roman" w:eastAsia="Calibri" w:hAnsi="Times New Roman" w:cs="Times New Roman"/>
          <w:sz w:val="24"/>
          <w:szCs w:val="24"/>
          <w:lang w:val="en-US"/>
        </w:rPr>
        <w:t>RF</w:t>
      </w: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Все приборы в составе измерительного комплекса (нижний уровень) должны быть оснащены универсальным модулем информационного обмена технологии RF (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RadioFrequency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>), обеспечивающим гарантированный прием, обработку и передачу измерительной информации, учётных данных, управляющих сигналов (команд), а также сигналов оповещения о наступлении штатных и срочных событий на УСПД (средний уровень).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Обмен измерительной информацией, учётными данными, управляющими </w:t>
      </w: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сигналами (командами) и сигналами оповещения о наступлении штатных и срочных событий между измерительным комплексом (нижний уровень) и УСПД (средний уровень) осуществляется с использованием радиочастотного канала (линии) связи разрешенного ISM диапазона частот 433,075÷434,750 МГц, 868,0÷868,2 МГц, 868,7÷869,2 МГц или 2400,0÷2483,5 МГц. Для организации связи между УСПД и ИПУ должен быть использован протокол обмена данных СПОДЭС, соответствующий ГОСТ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58940-2020.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УСПД (средний уровень) должны быть оснащены на входе универсальными приема-передатчиками технологии RF, а на выходе </w:t>
      </w:r>
      <w:proofErr w:type="spellStart"/>
      <w:r w:rsidRPr="009F0053">
        <w:rPr>
          <w:rFonts w:ascii="Times New Roman" w:eastAsia="Calibri" w:hAnsi="Times New Roman" w:cs="Times New Roman"/>
          <w:sz w:val="24"/>
          <w:szCs w:val="24"/>
        </w:rPr>
        <w:t>мультичастотными</w:t>
      </w:r>
      <w:proofErr w:type="spell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GSM-модемами, поддерживающими стандарты GPRS, EDGE, LTE, обеспечивающими прием, обработку и передачу измерительной информации, учётных данных, управляющих сигналов (команд) и сигналов оповещения о наступлении штатных и срочных событий на ЦСОД (ИСУЭ) (верхний уровень) и обратно.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Между УСПД (средний уровень) и ЦСОД (ИСУЭ) (верхний уровень) должна быть организована беспроводная сеть с использованием технологии GSM стандартов GPRS, EDGE, LTE или проводное соединение через Интернет-провайдера.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Допускается комбинирование технических решений при организации связи между УСПД и ИПУ (например, радио канал + PLC или RS-485 + </w:t>
      </w: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радио канал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>) для резервирования каналов связи в целях обеспечения отказоустойчивости.</w:t>
      </w:r>
    </w:p>
    <w:p w:rsidR="009F0053" w:rsidRPr="009F0053" w:rsidRDefault="009F0053" w:rsidP="009F005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Также допускается комбинирование технических решений при организации связи между УСПД и верхним уровнем ИСУЭ гарантирующего поставщика (например, радио GSM-канал + проводной канал Интернет-провайдера) для резервирования каналов связи в целях обеспечения отказоустойчивости.</w:t>
      </w:r>
    </w:p>
    <w:p w:rsidR="009F0053" w:rsidRPr="009F0053" w:rsidRDefault="009F0053" w:rsidP="009F005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053" w:rsidRDefault="009F0053" w:rsidP="00741121">
      <w:pPr>
        <w:numPr>
          <w:ilvl w:val="0"/>
          <w:numId w:val="3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Порядок согласования и выбранного технического решения и передачи приборов учета электроэнергии в эксплуатацию.</w:t>
      </w:r>
    </w:p>
    <w:p w:rsidR="00741121" w:rsidRPr="00741121" w:rsidRDefault="00741121" w:rsidP="00741121">
      <w:pPr>
        <w:spacing w:after="0" w:line="259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0053" w:rsidRPr="009F0053" w:rsidRDefault="009F0053" w:rsidP="009671D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Проектная документация на многоквартирный дом должна учитывать данные технические требования гарантирующего поставщика.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Раздел проектной документации должен содержать инженерно-технические решения, технические и функциональные требования к приборами учёта (измерительным комплексам), устройствам и оборудованию сбора и передачи данных, системам внутренней связи (устройствам, каналам, линиям и т.п.), обеспечивающим массовый сбор и передачу измерительной информации и учётных данных, а также возможность присоединения приборов учёта (измерительных комплексов) к интеллектуальной системе учёта электрической энергии (мощности) в соответствии с</w:t>
      </w:r>
      <w:proofErr w:type="gramEnd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 нормами, правилами и требованиями законодательства Российской Федерации об электроэнергетике, обеспечении единства измерений, о техническом регулировании и градостроительной деятельности.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Застройщик вправе согласовать выбранные им инженерно-технические решения с гарантирующим поставщиком, включая приборы учета, измерительные трансформаторы, систему внутренней связи, которые будут использованы им при разработке проектной документации и оснащении многоквартирного дома. 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Застройщик вправе обратиться к гарантирующему поставщику с запросом о подтверждении соответствия разработанной проектной документации техническим требованиям. 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Проектную документацию требуется предоставить на согласование на бумажном и электронном носителях. 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Наличие согласования инженерно-технического решения и проектной документации со стороны гарантирующего поставщика не освобождает застройщика от </w:t>
      </w:r>
      <w:r w:rsidRPr="009F0053">
        <w:rPr>
          <w:rFonts w:ascii="Times New Roman" w:eastAsia="Calibri" w:hAnsi="Times New Roman" w:cs="Times New Roman"/>
          <w:sz w:val="24"/>
          <w:szCs w:val="24"/>
        </w:rPr>
        <w:lastRenderedPageBreak/>
        <w:t>обязанности обеспечить фактическое функционирование данной системы на объекте и не является основанием для гарантированной приёмки системы.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После завершения работ по строительству многоквартирного дома застройщик направляет гарантирующему поставщику уведомление о необходимости введения приборов учета электрической энергии в эксплуатацию.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Допуск в эксплуатацию индивидуальных, общих (квартирных) приборов учета электрической энергии, установленных застройщиком в многоквартирном доме,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 </w:t>
      </w:r>
    </w:p>
    <w:p w:rsidR="009F0053" w:rsidRPr="009F0053" w:rsidRDefault="009F0053" w:rsidP="007C4613">
      <w:pPr>
        <w:numPr>
          <w:ilvl w:val="1"/>
          <w:numId w:val="3"/>
        </w:numPr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приборы учета электрической энергии в жилых и нежилых помещениях многоквартирного дома, коллективные (общедомовые) приборы учета, измерительные трансформаторы (при необходимости их установки вместе с коллективными (общедомовыми) приборами учета), а также система внутренней связи (устройства, каналы, линии), предназначенная для сбора и передачи данных с указанных приборов учета должны быть допущены в эксплуатацию, гарантирующему поставщику до введения застройщиком многоквартирного дома в эксплуатацию. </w:t>
      </w:r>
      <w:proofErr w:type="gramEnd"/>
    </w:p>
    <w:p w:rsidR="009F0053" w:rsidRPr="009F0053" w:rsidRDefault="009F0053" w:rsidP="007C4613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Процедура установки и допуска прибора учета в эксплуатацию заканчивается составлением акта допуска прибора учета в эксплуатацию, на основании формы, предусмотренной Приложением № 16 к Правилам технологического присоединения. </w:t>
      </w:r>
    </w:p>
    <w:p w:rsidR="009F0053" w:rsidRPr="009F0053" w:rsidRDefault="009F0053" w:rsidP="007C4613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 xml:space="preserve">Индивидуальные, общие (квартирные) и коллективные (общедомовые) приборы учета электрической энергии (измерительные трансформаторы) должны быть переданы застройщиком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эксплуатацию. </w:t>
      </w:r>
    </w:p>
    <w:p w:rsidR="009F0053" w:rsidRPr="009F0053" w:rsidRDefault="009F0053" w:rsidP="007C4613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0053">
        <w:rPr>
          <w:rFonts w:ascii="Times New Roman" w:eastAsia="Calibri" w:hAnsi="Times New Roman" w:cs="Times New Roman"/>
          <w:sz w:val="24"/>
          <w:szCs w:val="24"/>
        </w:rPr>
        <w:t>В течение 10 рабочих дней после допуска в эксплуатацию всех индивидуальных, общих (квартирных) и коллективных (общедомовых) приборов учета электрической энергии, установленных в многоквартирном доме застройщик составляет и направляет для подписания гарантирующему поставщику подписанный со своей стороны в 2 экземплярах акт приема-передачи в эксплуатацию приборов учета по форме Приложения № 6 к Основным положениям функционирования розничных рынков электрической энергии.</w:t>
      </w:r>
      <w:proofErr w:type="gramEnd"/>
    </w:p>
    <w:p w:rsidR="009F0053" w:rsidRPr="009F0053" w:rsidRDefault="009F0053" w:rsidP="007C4613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firstLine="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053">
        <w:rPr>
          <w:rFonts w:ascii="Times New Roman" w:eastAsia="Calibri" w:hAnsi="Times New Roman" w:cs="Times New Roman"/>
          <w:sz w:val="24"/>
          <w:szCs w:val="24"/>
        </w:rPr>
        <w:t>До момента перехода права собственности на приборы учета к собственникам помещений в многоквартирном доме, ответственность за сохранность индивидуальных, общих (квартирных), коллективных (общедомовых) приборов учета электрической энергии, измерительных трансформаторов, системы внутренней связи (устройств, каналов, линий), предназначенной для сбора и передачи данных с приборов учета, несет застройщик.</w:t>
      </w:r>
    </w:p>
    <w:p w:rsidR="002E5A38" w:rsidRDefault="002E5A38"/>
    <w:p w:rsidR="002E5A38" w:rsidRDefault="002E5A38"/>
    <w:p w:rsidR="002E5A38" w:rsidRDefault="002E5A38"/>
    <w:p w:rsidR="002E5A38" w:rsidRDefault="002E5A38"/>
    <w:p w:rsidR="002E5A38" w:rsidRDefault="002E5A38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B42E54" w:rsidRDefault="00B42E54"/>
    <w:p w:rsidR="00F61292" w:rsidRPr="00F61292" w:rsidRDefault="00F61292" w:rsidP="00F612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612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F61292" w:rsidRPr="00F61292" w:rsidRDefault="00F61292" w:rsidP="00F6129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F61292" w:rsidRDefault="00F61292"/>
    <w:sectPr w:rsidR="00F61292" w:rsidSect="0036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4EA"/>
    <w:multiLevelType w:val="multilevel"/>
    <w:tmpl w:val="2E84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B50EA"/>
    <w:multiLevelType w:val="multilevel"/>
    <w:tmpl w:val="CBB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555A1"/>
    <w:multiLevelType w:val="multilevel"/>
    <w:tmpl w:val="B84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251BB"/>
    <w:multiLevelType w:val="multilevel"/>
    <w:tmpl w:val="7BC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737E6"/>
    <w:multiLevelType w:val="multilevel"/>
    <w:tmpl w:val="6ED2EA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9446E89"/>
    <w:multiLevelType w:val="multilevel"/>
    <w:tmpl w:val="B8AE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33F07"/>
    <w:multiLevelType w:val="multilevel"/>
    <w:tmpl w:val="738A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D5DD6"/>
    <w:multiLevelType w:val="hybridMultilevel"/>
    <w:tmpl w:val="329CF098"/>
    <w:lvl w:ilvl="0" w:tplc="D5EA3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500092"/>
    <w:multiLevelType w:val="multilevel"/>
    <w:tmpl w:val="408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B7F7E"/>
    <w:multiLevelType w:val="hybridMultilevel"/>
    <w:tmpl w:val="9D4C0046"/>
    <w:lvl w:ilvl="0" w:tplc="990CE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5EA3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F0C0B"/>
    <w:multiLevelType w:val="hybridMultilevel"/>
    <w:tmpl w:val="6CEE5B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EC4CED"/>
    <w:multiLevelType w:val="multilevel"/>
    <w:tmpl w:val="A89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25"/>
    <w:rsid w:val="00051487"/>
    <w:rsid w:val="00074F80"/>
    <w:rsid w:val="001A4365"/>
    <w:rsid w:val="001D2BAB"/>
    <w:rsid w:val="00201822"/>
    <w:rsid w:val="0023774D"/>
    <w:rsid w:val="002E5A38"/>
    <w:rsid w:val="00337CD8"/>
    <w:rsid w:val="003609F8"/>
    <w:rsid w:val="00370136"/>
    <w:rsid w:val="005B5A22"/>
    <w:rsid w:val="006701B0"/>
    <w:rsid w:val="00727025"/>
    <w:rsid w:val="00741121"/>
    <w:rsid w:val="007C4613"/>
    <w:rsid w:val="008908AE"/>
    <w:rsid w:val="008940ED"/>
    <w:rsid w:val="009671D3"/>
    <w:rsid w:val="00982AAA"/>
    <w:rsid w:val="009F0053"/>
    <w:rsid w:val="00B42E54"/>
    <w:rsid w:val="00C538C9"/>
    <w:rsid w:val="00E515F9"/>
    <w:rsid w:val="00F61292"/>
    <w:rsid w:val="00FC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5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Спичак Елена</dc:creator>
  <cp:keywords/>
  <dc:description/>
  <cp:lastModifiedBy>Гладких Александр</cp:lastModifiedBy>
  <cp:revision>18</cp:revision>
  <cp:lastPrinted>2021-08-18T08:48:00Z</cp:lastPrinted>
  <dcterms:created xsi:type="dcterms:W3CDTF">2021-08-18T05:43:00Z</dcterms:created>
  <dcterms:modified xsi:type="dcterms:W3CDTF">2021-08-18T12:48:00Z</dcterms:modified>
</cp:coreProperties>
</file>